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Spacing w:w="0" w:type="dxa"/>
        <w:tblInd w:w="-591" w:type="dxa"/>
        <w:tblCellMar>
          <w:left w:w="0" w:type="dxa"/>
          <w:right w:w="0" w:type="dxa"/>
        </w:tblCellMar>
        <w:tblLook w:val="04A0" w:firstRow="1" w:lastRow="0" w:firstColumn="1" w:lastColumn="0" w:noHBand="0" w:noVBand="1"/>
      </w:tblPr>
      <w:tblGrid>
        <w:gridCol w:w="5245"/>
        <w:gridCol w:w="5245"/>
      </w:tblGrid>
      <w:tr w:rsidR="00CE1CC0" w:rsidRPr="00CE1CC0" w:rsidTr="00CE1CC0">
        <w:trPr>
          <w:tblCellSpacing w:w="0" w:type="dxa"/>
        </w:trPr>
        <w:tc>
          <w:tcPr>
            <w:tcW w:w="5245" w:type="dxa"/>
            <w:tcMar>
              <w:top w:w="0" w:type="dxa"/>
              <w:left w:w="108" w:type="dxa"/>
              <w:bottom w:w="0" w:type="dxa"/>
              <w:right w:w="108" w:type="dxa"/>
            </w:tcMar>
            <w:hideMark/>
          </w:tcPr>
          <w:p w:rsidR="00CE1CC0" w:rsidRDefault="00CE1CC0" w:rsidP="00CE1CC0">
            <w:pPr>
              <w:spacing w:after="0" w:line="240" w:lineRule="auto"/>
              <w:jc w:val="center"/>
              <w:rPr>
                <w:rFonts w:eastAsia="Times New Roman" w:cs="Times New Roman"/>
                <w:b/>
                <w:bCs/>
                <w:sz w:val="24"/>
                <w:szCs w:val="24"/>
              </w:rPr>
            </w:pPr>
            <w:r w:rsidRPr="00CE1CC0">
              <w:rPr>
                <w:rFonts w:eastAsia="Times New Roman" w:cs="Times New Roman"/>
                <w:b/>
                <w:bCs/>
                <w:sz w:val="24"/>
                <w:szCs w:val="24"/>
              </w:rPr>
              <w:t xml:space="preserve">BỘ LAO ĐỘNG - THƯƠNG BINH VÀ </w:t>
            </w:r>
          </w:p>
          <w:p w:rsidR="00CE1CC0" w:rsidRPr="00CE1CC0" w:rsidRDefault="00CE1CC0" w:rsidP="00CE1CC0">
            <w:pPr>
              <w:spacing w:after="0" w:line="240" w:lineRule="auto"/>
              <w:jc w:val="center"/>
              <w:rPr>
                <w:rFonts w:eastAsia="Times New Roman" w:cs="Times New Roman"/>
                <w:sz w:val="24"/>
                <w:szCs w:val="24"/>
              </w:rPr>
            </w:pPr>
            <w:r w:rsidRPr="00CE1CC0">
              <w:rPr>
                <w:rFonts w:eastAsia="Times New Roman" w:cs="Times New Roman"/>
                <w:b/>
                <w:bCs/>
                <w:sz w:val="24"/>
                <w:szCs w:val="24"/>
              </w:rPr>
              <w:t>XÃ HỘI</w:t>
            </w:r>
            <w:r w:rsidRPr="00CE1CC0">
              <w:rPr>
                <w:rFonts w:eastAsia="Times New Roman" w:cs="Times New Roman"/>
                <w:b/>
                <w:bCs/>
                <w:sz w:val="24"/>
                <w:szCs w:val="24"/>
              </w:rPr>
              <w:br/>
              <w:t>--------</w:t>
            </w:r>
          </w:p>
        </w:tc>
        <w:tc>
          <w:tcPr>
            <w:tcW w:w="5245" w:type="dxa"/>
            <w:tcMar>
              <w:top w:w="0" w:type="dxa"/>
              <w:left w:w="108" w:type="dxa"/>
              <w:bottom w:w="0" w:type="dxa"/>
              <w:right w:w="108" w:type="dxa"/>
            </w:tcMar>
            <w:hideMark/>
          </w:tcPr>
          <w:p w:rsidR="00CE1CC0" w:rsidRPr="00CE1CC0" w:rsidRDefault="00CE1CC0" w:rsidP="00FB0D6C">
            <w:pPr>
              <w:spacing w:after="0" w:line="240" w:lineRule="auto"/>
              <w:jc w:val="center"/>
              <w:rPr>
                <w:rFonts w:eastAsia="Times New Roman" w:cs="Times New Roman"/>
                <w:sz w:val="24"/>
                <w:szCs w:val="24"/>
              </w:rPr>
            </w:pPr>
            <w:r w:rsidRPr="00CE1CC0">
              <w:rPr>
                <w:rFonts w:eastAsia="Times New Roman" w:cs="Times New Roman"/>
                <w:b/>
                <w:bCs/>
                <w:sz w:val="24"/>
                <w:szCs w:val="24"/>
              </w:rPr>
              <w:t>CỘNG HÒA XÃ HỘI CHỦ NGHĨA VIỆT NAM</w:t>
            </w:r>
            <w:r w:rsidRPr="00CE1CC0">
              <w:rPr>
                <w:rFonts w:eastAsia="Times New Roman" w:cs="Times New Roman"/>
                <w:b/>
                <w:bCs/>
                <w:sz w:val="24"/>
                <w:szCs w:val="24"/>
              </w:rPr>
              <w:br/>
              <w:t>Độc lập - Tự do - Hạnh phúc</w:t>
            </w:r>
            <w:r w:rsidRPr="00CE1CC0">
              <w:rPr>
                <w:rFonts w:eastAsia="Times New Roman" w:cs="Times New Roman"/>
                <w:b/>
                <w:bCs/>
                <w:sz w:val="24"/>
                <w:szCs w:val="24"/>
              </w:rPr>
              <w:br/>
              <w:t>----------------</w:t>
            </w:r>
          </w:p>
        </w:tc>
      </w:tr>
      <w:tr w:rsidR="00CE1CC0" w:rsidRPr="00CE1CC0" w:rsidTr="00CE1CC0">
        <w:trPr>
          <w:tblCellSpacing w:w="0" w:type="dxa"/>
        </w:trPr>
        <w:tc>
          <w:tcPr>
            <w:tcW w:w="5245" w:type="dxa"/>
            <w:tcMar>
              <w:top w:w="0" w:type="dxa"/>
              <w:left w:w="108" w:type="dxa"/>
              <w:bottom w:w="0" w:type="dxa"/>
              <w:right w:w="108" w:type="dxa"/>
            </w:tcMar>
            <w:hideMark/>
          </w:tcPr>
          <w:p w:rsidR="00CE1CC0" w:rsidRPr="00CE1CC0" w:rsidRDefault="00CE1CC0" w:rsidP="00CE1CC0">
            <w:pPr>
              <w:spacing w:before="120" w:after="100" w:afterAutospacing="1" w:line="240" w:lineRule="auto"/>
              <w:jc w:val="center"/>
              <w:rPr>
                <w:rFonts w:eastAsia="Times New Roman" w:cs="Times New Roman"/>
                <w:sz w:val="24"/>
                <w:szCs w:val="24"/>
              </w:rPr>
            </w:pPr>
            <w:r w:rsidRPr="00CE1CC0">
              <w:rPr>
                <w:rFonts w:eastAsia="Times New Roman" w:cs="Times New Roman"/>
                <w:sz w:val="24"/>
                <w:szCs w:val="24"/>
              </w:rPr>
              <w:t>Số: 2366/LĐTBXH-NCC</w:t>
            </w:r>
            <w:r w:rsidRPr="00CE1CC0">
              <w:rPr>
                <w:rFonts w:eastAsia="Times New Roman" w:cs="Times New Roman"/>
                <w:sz w:val="24"/>
                <w:szCs w:val="24"/>
              </w:rPr>
              <w:br/>
            </w:r>
            <w:r w:rsidRPr="00CE1CC0">
              <w:rPr>
                <w:rFonts w:eastAsia="Times New Roman" w:cs="Times New Roman"/>
                <w:i/>
                <w:iCs/>
                <w:sz w:val="24"/>
                <w:szCs w:val="24"/>
              </w:rPr>
              <w:t>V/v tổ chức hoạt động kỷ niệm 68 ngày Thương binh - Liệt sĩ</w:t>
            </w:r>
          </w:p>
        </w:tc>
        <w:tc>
          <w:tcPr>
            <w:tcW w:w="5245" w:type="dxa"/>
            <w:tcMar>
              <w:top w:w="0" w:type="dxa"/>
              <w:left w:w="108" w:type="dxa"/>
              <w:bottom w:w="0" w:type="dxa"/>
              <w:right w:w="108" w:type="dxa"/>
            </w:tcMar>
            <w:hideMark/>
          </w:tcPr>
          <w:p w:rsidR="00CE1CC0" w:rsidRPr="00CE1CC0" w:rsidRDefault="00CE1CC0" w:rsidP="00FB0D6C">
            <w:pPr>
              <w:spacing w:after="0" w:line="240" w:lineRule="auto"/>
              <w:jc w:val="center"/>
              <w:rPr>
                <w:rFonts w:eastAsia="Times New Roman" w:cs="Times New Roman"/>
                <w:sz w:val="24"/>
                <w:szCs w:val="24"/>
              </w:rPr>
            </w:pPr>
            <w:r w:rsidRPr="00CE1CC0">
              <w:rPr>
                <w:rFonts w:eastAsia="Times New Roman" w:cs="Times New Roman"/>
                <w:i/>
                <w:iCs/>
                <w:sz w:val="24"/>
                <w:szCs w:val="24"/>
              </w:rPr>
              <w:t>Hà Nội, ngày 19 tháng 06 năm 2015</w:t>
            </w:r>
          </w:p>
        </w:tc>
      </w:tr>
    </w:tbl>
    <w:p w:rsidR="00CE1CC0" w:rsidRPr="00CE1CC0" w:rsidRDefault="00CE1CC0" w:rsidP="00CE1CC0">
      <w:pPr>
        <w:spacing w:before="120" w:after="100" w:afterAutospacing="1" w:line="240" w:lineRule="auto"/>
        <w:rPr>
          <w:rFonts w:eastAsia="Times New Roman" w:cs="Times New Roman"/>
          <w:sz w:val="24"/>
          <w:szCs w:val="24"/>
        </w:rPr>
      </w:pPr>
      <w:r w:rsidRPr="00CE1CC0">
        <w:rPr>
          <w:rFonts w:eastAsia="Times New Roman" w:cs="Times New Roman"/>
          <w:sz w:val="24"/>
          <w:szCs w:val="24"/>
        </w:rPr>
        <w:t> </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b/>
          <w:bCs/>
          <w:szCs w:val="28"/>
        </w:rPr>
        <w:t>Kính gửi:</w:t>
      </w:r>
      <w:r w:rsidRPr="00CE1CC0">
        <w:rPr>
          <w:rFonts w:eastAsia="Times New Roman" w:cs="Times New Roman"/>
          <w:szCs w:val="28"/>
        </w:rPr>
        <w:t xml:space="preserve"> Ủy ban nhân dân các tỉnh, thành phố trực thuộc Trung ương</w:t>
      </w:r>
    </w:p>
    <w:p w:rsidR="00CE1CC0" w:rsidRDefault="00CE1CC0" w:rsidP="00CE1CC0">
      <w:pPr>
        <w:spacing w:before="120" w:after="120" w:line="240" w:lineRule="auto"/>
        <w:jc w:val="both"/>
        <w:rPr>
          <w:rFonts w:eastAsia="Times New Roman" w:cs="Times New Roman"/>
          <w:szCs w:val="28"/>
        </w:rPr>
      </w:pPr>
      <w:bookmarkStart w:id="0" w:name="_GoBack"/>
      <w:bookmarkEnd w:id="0"/>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Hướng tới kỷ niệm 68 năm ngày Thương binh - Liệt sĩ (27/7/1947-27/7/2015); nhằm thể hiện sự tri ân, lòng biết ơn của Đảng, Nhà nước và nhân dân đối với người công với nước và cũng là dịp để tuyên truyền, giáo dục truyền thống cách mạng, lòng yêu nước, tinh thần tự hào dân tộc; nâng cao ý thức trách nhiệm của các cấp các ngành và nhân dân, đặc biệt là thế hệ trẻ trong công cuộc xây dựng và bảo vệ Tổ quốc và công tác đền ơn đáp nghĩa đối với người có công với nước, Bộ Lao động - Thương binh và Xã hội đề nghị Ủy ban nhân dân các tỉnh, thành phố trực thuộc Trung ương thực hiện một số nội dung sau:</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1. Ban hành kế hoạch tổ chức hoạt động kỷ niệm 68 năm kỷ niệm ngày Thương binh - Liệt sĩ với các hoạt động thiết thực, hiệu quả, thể hiện trách nhiệm, tình cảm của các cấp các ngành, các cơ quan, đơn vị và tầng lớp nhân dân trong việc thực hiện chính sách ưu đãi đối với người có công và phong trào “Đền ơn, đáp nghĩa” trên địa bàn tỉnh, thành phố.</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2. Đẩy mạnh thực hiện chính sách ưu đãi người có công và công tác đền ơn đáp nghĩa.</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 Tiếp tục triển khai kịp thời, đầy đủ các chính sách ưu đãi của Đảng, Nhà nước đối với người có công với cách mạng quy định tại Pháp lệnh số 04/2012/UBTVQH13 của Ủy ban Thường vụ Quốc hội; Nghị định số 31/2013/NĐ-CP ngày 09/4/2013 của Chính phủ quy định chi tiết và hướng dẫn thi hành một số điều của Pháp lệnh ưu đãi người có công với cách mạng và các văn bản hướng dẫn thi hành.</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 Tập trung xử lý, giải quyết tồn đọng sau Tổng rà soát theo Chỉ thị số 23/CT-TTg ngày 27/10/2013 của Thủ tướng Chính phủ đối với những trường hợp hưởng chưa đầy đủ, hưởng sai chính sách và việc giải quyết hồ sơ kê khai xác nhận người có công còn tồn đọng theo số liệu mà các địa phương đã báo cáo.</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 Gắn việc tổ chức Hội nghị điển hình tiên tiến và Đại hội thi đua yêu nước các cấp với việc biểu dương các tập thể, cá nhân điển hình có nhiều thành tích trong phong trào Đền ơn đáp nghĩa; gương người có công tiêu biểu trong thời kỳ đổi mới và xây dựng đất nước.</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lastRenderedPageBreak/>
        <w:t>- Vận động xây dựng Quỹ Đền ơn đáp nghĩa, tôn tạo, tu bổ, nâng cấp các công trình ghi công liệt sĩ; tổ chức các hoạt động thăm, viếng nghĩa trang liệt sĩ.</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3. Chỉ đạo Sở Lao động - Thương binh và Xã hội phối hợp với các Sở, Ban, ngành và chính quyền địa phương thực hiện:</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 Đẩy mạnh phong trào xã phường làm tốt công tác người có công; Tổ chức gặp mặt, tri ân các Mẹ Việt Nam anh hùng và người có công; tổ chức chăm sóc sức khỏe, khám chữa bệnh cho các đối tượng người có công trên địa bàn tỉnh, thành phố.</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 Phối hợp với Sở Tài chính, Ủy ban Mặt trận Tổ quốc tổ chức, hướng dẫn việc thăm hỏi, tặng quà; chuyển quà của Chủ tịch nước, quà của địa phương tới đối tượng chính sách người có công kịp thời.</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 Phối hợp với Sở Giáo dục và Đào tạo chỉ đạo các Nhà trường phối hợp với Đoàn Thanh niên cộng sản Hồ Chí Minh, Hội đồng Đội các cấp tổ chức cho học sinh, sinh viên chăm sóc và tu bổ nghĩa trang liệt sĩ tại địa phương với các hoạt động cụ thể như: làm vệ sinh, chăm sóc cây xanh, trồng hoa và thắp hương trong dịp 27/7/2015 (theo Chương trình số 625/CTr-BGDĐT-BLĐTBXH ngày 25/7/2012 giữa Bộ Giáo dục và Đào tạo và Bộ Lao động - Thương binh và Xã hội về việc phối hợp chăm sóc, tu bổ nghĩa trang liệt sĩ toàn quốc).</w:t>
      </w:r>
    </w:p>
    <w:p w:rsidR="00CE1CC0" w:rsidRPr="00CE1CC0" w:rsidRDefault="00CE1CC0" w:rsidP="00CE1CC0">
      <w:pPr>
        <w:spacing w:before="120" w:after="120" w:line="240" w:lineRule="auto"/>
        <w:ind w:firstLine="720"/>
        <w:jc w:val="both"/>
        <w:rPr>
          <w:rFonts w:eastAsia="Times New Roman" w:cs="Times New Roman"/>
          <w:szCs w:val="28"/>
        </w:rPr>
      </w:pPr>
      <w:r w:rsidRPr="00CE1CC0">
        <w:rPr>
          <w:rFonts w:eastAsia="Times New Roman" w:cs="Times New Roman"/>
          <w:szCs w:val="28"/>
        </w:rPr>
        <w:t>Để kịp thời tổng hợp số liệu báo cáo Chính phủ, Thủ tướng Chính phủ, Bộ Lao động - Thương binh và Xã hội đề nghị các tỉnh, thành phố trực thuộc Trung ương gửi báo cáo kết quả thực hiện các nội dung trên về Bộ Lao động - Thương binh và Xã hội (Cục Người có công, 139 Nguyễn Thái Học, Ba Đình, Hà Nội) trước ngày 15/8/2015./.</w:t>
      </w:r>
    </w:p>
    <w:p w:rsidR="00CE1CC0" w:rsidRPr="00CE1CC0" w:rsidRDefault="00CE1CC0" w:rsidP="00CE1CC0">
      <w:pPr>
        <w:spacing w:before="120" w:after="100" w:afterAutospacing="1" w:line="240" w:lineRule="auto"/>
        <w:rPr>
          <w:rFonts w:eastAsia="Times New Roman" w:cs="Times New Roman"/>
          <w:sz w:val="24"/>
          <w:szCs w:val="24"/>
        </w:rPr>
      </w:pPr>
      <w:r w:rsidRPr="00CE1CC0">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505"/>
        <w:gridCol w:w="3969"/>
      </w:tblGrid>
      <w:tr w:rsidR="00CE1CC0" w:rsidRPr="00CE1CC0" w:rsidTr="00CE1CC0">
        <w:trPr>
          <w:tblCellSpacing w:w="0" w:type="dxa"/>
        </w:trPr>
        <w:tc>
          <w:tcPr>
            <w:tcW w:w="5505" w:type="dxa"/>
            <w:tcMar>
              <w:top w:w="0" w:type="dxa"/>
              <w:left w:w="108" w:type="dxa"/>
              <w:bottom w:w="0" w:type="dxa"/>
              <w:right w:w="108" w:type="dxa"/>
            </w:tcMar>
            <w:hideMark/>
          </w:tcPr>
          <w:p w:rsidR="00CE1CC0" w:rsidRPr="00CE1CC0" w:rsidRDefault="00CE1CC0" w:rsidP="00CE1CC0">
            <w:pPr>
              <w:spacing w:before="120" w:after="100" w:afterAutospacing="1" w:line="240" w:lineRule="auto"/>
              <w:rPr>
                <w:rFonts w:eastAsia="Times New Roman" w:cs="Times New Roman"/>
                <w:sz w:val="24"/>
                <w:szCs w:val="24"/>
              </w:rPr>
            </w:pPr>
            <w:r>
              <w:rPr>
                <w:rFonts w:eastAsia="Times New Roman" w:cs="Times New Roman"/>
                <w:b/>
                <w:bCs/>
                <w:i/>
                <w:iCs/>
                <w:sz w:val="24"/>
                <w:szCs w:val="24"/>
              </w:rPr>
              <w:t xml:space="preserve">  </w:t>
            </w:r>
            <w:r w:rsidRPr="00CE1CC0">
              <w:rPr>
                <w:rFonts w:eastAsia="Times New Roman" w:cs="Times New Roman"/>
                <w:b/>
                <w:bCs/>
                <w:i/>
                <w:iCs/>
                <w:sz w:val="24"/>
                <w:szCs w:val="24"/>
              </w:rPr>
              <w:t>Nơi nhận:</w:t>
            </w:r>
            <w:r w:rsidRPr="00CE1CC0">
              <w:rPr>
                <w:rFonts w:eastAsia="Times New Roman" w:cs="Times New Roman"/>
                <w:b/>
                <w:bCs/>
                <w:i/>
                <w:iCs/>
                <w:sz w:val="24"/>
                <w:szCs w:val="24"/>
              </w:rPr>
              <w:br/>
            </w:r>
            <w:r w:rsidRPr="00CE1CC0">
              <w:rPr>
                <w:rFonts w:eastAsia="Times New Roman" w:cs="Times New Roman"/>
                <w:sz w:val="24"/>
                <w:szCs w:val="24"/>
              </w:rPr>
              <w:t>- Như trên;</w:t>
            </w:r>
            <w:r w:rsidRPr="00CE1CC0">
              <w:rPr>
                <w:rFonts w:eastAsia="Times New Roman" w:cs="Times New Roman"/>
                <w:sz w:val="24"/>
                <w:szCs w:val="24"/>
              </w:rPr>
              <w:br/>
              <w:t>- Bộ trưởng (để b/c);</w:t>
            </w:r>
            <w:r w:rsidRPr="00CE1CC0">
              <w:rPr>
                <w:rFonts w:eastAsia="Times New Roman" w:cs="Times New Roman"/>
                <w:sz w:val="24"/>
                <w:szCs w:val="24"/>
              </w:rPr>
              <w:br/>
              <w:t>- Sở LĐTBXH các tỉnh, thành phố trực thuộc TW;</w:t>
            </w:r>
            <w:r w:rsidRPr="00CE1CC0">
              <w:rPr>
                <w:rFonts w:eastAsia="Times New Roman" w:cs="Times New Roman"/>
                <w:sz w:val="24"/>
                <w:szCs w:val="24"/>
              </w:rPr>
              <w:br/>
              <w:t>- Các đơn vị thuộc Bộ LĐTBXH: Báo LĐXH, Tạp chí LĐXH, Tạp chí GĐTE, Cổng TTĐT.</w:t>
            </w:r>
            <w:r w:rsidRPr="00CE1CC0">
              <w:rPr>
                <w:rFonts w:eastAsia="Times New Roman" w:cs="Times New Roman"/>
                <w:sz w:val="24"/>
                <w:szCs w:val="24"/>
              </w:rPr>
              <w:br/>
              <w:t>- Lưu VT, Cục NCC.</w:t>
            </w:r>
          </w:p>
        </w:tc>
        <w:tc>
          <w:tcPr>
            <w:tcW w:w="3969" w:type="dxa"/>
            <w:tcMar>
              <w:top w:w="0" w:type="dxa"/>
              <w:left w:w="108" w:type="dxa"/>
              <w:bottom w:w="0" w:type="dxa"/>
              <w:right w:w="108" w:type="dxa"/>
            </w:tcMar>
            <w:hideMark/>
          </w:tcPr>
          <w:p w:rsidR="00CE1CC0" w:rsidRDefault="00CE1CC0" w:rsidP="00CE1CC0">
            <w:pPr>
              <w:spacing w:before="120" w:after="100" w:afterAutospacing="1" w:line="240" w:lineRule="auto"/>
              <w:jc w:val="center"/>
              <w:rPr>
                <w:rFonts w:eastAsia="Times New Roman" w:cs="Times New Roman"/>
                <w:b/>
                <w:bCs/>
                <w:sz w:val="24"/>
                <w:szCs w:val="24"/>
              </w:rPr>
            </w:pPr>
            <w:r w:rsidRPr="00CE1CC0">
              <w:rPr>
                <w:rFonts w:eastAsia="Times New Roman" w:cs="Times New Roman"/>
                <w:b/>
                <w:bCs/>
                <w:sz w:val="24"/>
                <w:szCs w:val="24"/>
              </w:rPr>
              <w:t>KT. BỘ TRƯỞNG</w:t>
            </w:r>
            <w:r w:rsidRPr="00CE1CC0">
              <w:rPr>
                <w:rFonts w:eastAsia="Times New Roman" w:cs="Times New Roman"/>
                <w:b/>
                <w:bCs/>
                <w:sz w:val="24"/>
                <w:szCs w:val="24"/>
              </w:rPr>
              <w:br/>
              <w:t>THỨ TRƯỞNG</w:t>
            </w:r>
            <w:r w:rsidRPr="00CE1CC0">
              <w:rPr>
                <w:rFonts w:eastAsia="Times New Roman" w:cs="Times New Roman"/>
                <w:b/>
                <w:bCs/>
                <w:sz w:val="24"/>
                <w:szCs w:val="24"/>
              </w:rPr>
              <w:br/>
            </w:r>
            <w:r w:rsidRPr="00CE1CC0">
              <w:rPr>
                <w:rFonts w:eastAsia="Times New Roman" w:cs="Times New Roman"/>
                <w:b/>
                <w:bCs/>
                <w:sz w:val="24"/>
                <w:szCs w:val="24"/>
              </w:rPr>
              <w:br/>
            </w:r>
            <w:r w:rsidRPr="00CE1CC0">
              <w:rPr>
                <w:rFonts w:eastAsia="Times New Roman" w:cs="Times New Roman"/>
                <w:b/>
                <w:bCs/>
                <w:sz w:val="24"/>
                <w:szCs w:val="24"/>
              </w:rPr>
              <w:br/>
            </w:r>
            <w:r w:rsidRPr="00CE1CC0">
              <w:rPr>
                <w:rFonts w:eastAsia="Times New Roman" w:cs="Times New Roman"/>
                <w:b/>
                <w:bCs/>
                <w:sz w:val="24"/>
                <w:szCs w:val="24"/>
              </w:rPr>
              <w:br/>
            </w:r>
          </w:p>
          <w:p w:rsidR="00CE1CC0" w:rsidRPr="00CE1CC0" w:rsidRDefault="00CE1CC0" w:rsidP="00CE1CC0">
            <w:pPr>
              <w:spacing w:before="120" w:after="100" w:afterAutospacing="1" w:line="240" w:lineRule="auto"/>
              <w:jc w:val="center"/>
              <w:rPr>
                <w:rFonts w:eastAsia="Times New Roman" w:cs="Times New Roman"/>
                <w:sz w:val="24"/>
                <w:szCs w:val="24"/>
              </w:rPr>
            </w:pPr>
            <w:r w:rsidRPr="00CE1CC0">
              <w:rPr>
                <w:rFonts w:eastAsia="Times New Roman" w:cs="Times New Roman"/>
                <w:b/>
                <w:bCs/>
                <w:sz w:val="24"/>
                <w:szCs w:val="24"/>
              </w:rPr>
              <w:br/>
              <w:t>Doãn Mậu Diệp</w:t>
            </w:r>
          </w:p>
        </w:tc>
      </w:tr>
    </w:tbl>
    <w:p w:rsidR="000255AE" w:rsidRDefault="000255AE"/>
    <w:sectPr w:rsidR="000255AE" w:rsidSect="00CE1CC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C0"/>
    <w:rsid w:val="000255AE"/>
    <w:rsid w:val="00CE1CC0"/>
    <w:rsid w:val="00FB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CC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1CC0"/>
    <w:rPr>
      <w:b/>
      <w:bCs/>
    </w:rPr>
  </w:style>
  <w:style w:type="character" w:styleId="Emphasis">
    <w:name w:val="Emphasis"/>
    <w:basedOn w:val="DefaultParagraphFont"/>
    <w:uiPriority w:val="20"/>
    <w:qFormat/>
    <w:rsid w:val="00CE1C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CC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1CC0"/>
    <w:rPr>
      <w:b/>
      <w:bCs/>
    </w:rPr>
  </w:style>
  <w:style w:type="character" w:styleId="Emphasis">
    <w:name w:val="Emphasis"/>
    <w:basedOn w:val="DefaultParagraphFont"/>
    <w:uiPriority w:val="20"/>
    <w:qFormat/>
    <w:rsid w:val="00CE1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nthungls</dc:creator>
  <cp:lastModifiedBy>nthungls</cp:lastModifiedBy>
  <cp:revision>2</cp:revision>
  <dcterms:created xsi:type="dcterms:W3CDTF">2015-12-10T02:29:00Z</dcterms:created>
  <dcterms:modified xsi:type="dcterms:W3CDTF">2015-12-10T02:32:00Z</dcterms:modified>
</cp:coreProperties>
</file>